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Cú pháp</w:t>
      </w:r>
      <w:r w:rsidRPr="00FA254E">
        <w:rPr>
          <w:b/>
          <w:bCs/>
          <w:noProof/>
          <w:sz w:val="24"/>
          <w:szCs w:val="24"/>
        </w:rPr>
        <w:t xml:space="preserve"> học</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Syntax</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FLS3008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người học: kiến thức về các đơn vị cấu thành một</w:t>
        <w:br/>
        <w:t>câu (cấu trúc câu theo hướng tổng quan nhất), cách thức phân tích câu và cách thức sử dụng sơ đồ cây để biểu diễn các thành phần trong câu. Đồng thời, người học còn được tiếp cận khối kiến thức liên ngôn ngữ liên quan đến các phạm trù ngôn ngữ chuyên biệt.</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nhằm giúp sinh viên nắm được các kiến thức liên quan đến câu bao</w:t>
        <w:br/>
        <w:t>gồm các thành phần trong câu, cách thức phân tích và cách thức mô tả các thành phần đó.</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Hiểu rõ</w:t>
      </w:r>
      <w:r w:rsidRPr="00FA254E">
        <w:rPr>
          <w:noProof/>
          <w:sz w:val="24"/>
          <w:szCs w:val="24"/>
        </w:rPr>
        <w:t xml:space="preserve"> được các đơn vị trong câu bằng những khái niệm khái quát hóa và những</w:t>
        <w:br/>
        <w:t>khái niệm chuyên biệt cụ thể.</w:t>
        <w:br/>
        <w:t>b) Biết cách phân biệt các cụm từ và các mệnh đề.</w:t>
        <w:br/>
        <w:t>c) Biết cách phân tích câu theo sơ đồ cây và nhận diện một số câu đa nghĩa.</w:t>
        <w:br/>
        <w:t>d) So sánh được các thành phần cấu trúc giữa các câu khác nhau.</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và thảo luận về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Khái quát</w:t>
            </w:r>
            <w:r w:rsidRPr="00FA254E">
              <w:rPr>
                <w:noProof/>
                <w:sz w:val="24"/>
                <w:szCs w:val="24"/>
              </w:rPr>
              <w:t xml:space="preserve"> hóa về Cú Pháp học và mối liên</w:t>
              <w:br/>
              <w:t>hệ với ngôn ngữ học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Khái quát</w:t>
            </w:r>
            <w:r w:rsidRPr="00FA254E">
              <w:rPr>
                <w:noProof/>
                <w:sz w:val="24"/>
                <w:szCs w:val="24"/>
              </w:rPr>
              <w:t xml:space="preserve"> hóa về các loại cụm từ</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Khái quát</w:t>
            </w:r>
            <w:r w:rsidRPr="00FA254E">
              <w:rPr>
                <w:noProof/>
                <w:sz w:val="24"/>
                <w:szCs w:val="24"/>
              </w:rPr>
              <w:t xml:space="preserve"> hóa về các loại mệnh đề</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Khái quát</w:t>
            </w:r>
            <w:r w:rsidRPr="00FA254E">
              <w:rPr>
                <w:noProof/>
                <w:sz w:val="24"/>
                <w:szCs w:val="24"/>
              </w:rPr>
              <w:t xml:space="preserve"> hóa về cách phân tích câu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Sử dụng</w:t>
            </w:r>
            <w:r w:rsidRPr="00FA254E">
              <w:rPr>
                <w:noProof/>
                <w:sz w:val="24"/>
                <w:szCs w:val="24"/>
              </w:rPr>
              <w:t xml:space="preserve"> sơ đồ cây để phân tích câu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Seminar</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Chuyên cần</w:t>
            </w:r>
            <w:r w:rsidRPr="00FA254E">
              <w:rPr>
                <w:noProof/>
                <w:sz w:val="24"/>
                <w:szCs w:val="24"/>
              </w:rPr>
              <w:t xml:space="preserve"> thái độ</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10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Bài kiểm</w:t>
            </w:r>
            <w:r w:rsidRPr="00FA254E">
              <w:rPr>
                <w:noProof/>
                <w:sz w:val="24"/>
                <w:szCs w:val="24"/>
              </w:rPr>
              <w:t xml:space="preserve"> tra giữa kỳ: tiểu luận</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p w:rsidRPr="00FA254E" w:rsidP="00BB1685">
            <w:pPr>
              <w:spacing w:before="40" w:after="40"/>
              <w:rPr>
                <w:sz w:val="24"/>
                <w:szCs w:val="24"/>
              </w:rPr>
            </w:pPr>
            <w:r w:rsidRPr="00FA254E">
              <w:rPr>
                <w:noProof/>
                <w:sz w:val="24"/>
                <w:szCs w:val="24"/>
              </w:rPr>
              <w:t>Hình thức thi: Viết</w:t>
            </w:r>
          </w:p>
          <w:p w:rsidRPr="00FA254E" w:rsidP="00BB1685">
            <w:pPr>
              <w:spacing w:before="40" w:after="40"/>
              <w:rPr>
                <w:sz w:val="24"/>
                <w:szCs w:val="24"/>
              </w:rPr>
            </w:pPr>
            <w:r w:rsidRPr="00FA254E">
              <w:rPr>
                <w:noProof/>
                <w:sz w:val="24"/>
                <w:szCs w:val="24"/>
              </w:rPr>
              <w:t xml:space="preserve">- Đề mở: </w:t>
              <w:tab/>
              <w:t xml:space="preserve">x </w:t>
              <w:tab/>
            </w:r>
          </w:p>
          <w:p w:rsidR="00EF0C39" w:rsidRPr="00FA254E" w:rsidP="00BB1685">
            <w:pPr>
              <w:spacing w:before="40" w:after="40"/>
              <w:rPr>
                <w:color w:val="000000"/>
                <w:sz w:val="24"/>
                <w:szCs w:val="24"/>
              </w:rPr>
            </w:pPr>
            <w:r w:rsidRPr="00FA254E">
              <w:rPr>
                <w:noProof/>
                <w:sz w:val="24"/>
                <w:szCs w:val="24"/>
              </w:rPr>
              <w:t>- Đề đóng: x</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Victoria</w:t>
              <w:br/>
              <w:t>Fromkin</w:t>
            </w:r>
            <w:r w:rsidRPr="00FA254E">
              <w:rPr>
                <w:noProof/>
                <w:sz w:val="24"/>
                <w:szCs w:val="24"/>
              </w:rPr>
              <w:t xml:space="preserve"> –</w:t>
              <w:br/>
              <w:t>Robert</w:t>
              <w:br/>
              <w:t>Rodman –</w:t>
              <w:br/>
              <w:t>Nina Hyams</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An Introduction</w:t>
            </w:r>
            <w:r w:rsidRPr="00FA254E">
              <w:rPr>
                <w:noProof/>
                <w:sz w:val="24"/>
                <w:szCs w:val="24"/>
              </w:rPr>
              <w:br/>
              <w:t>to Language</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2014</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Cengage</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Elly van</w:t>
            </w:r>
            <w:r w:rsidRPr="00FA254E">
              <w:rPr>
                <w:noProof/>
                <w:sz w:val="24"/>
                <w:szCs w:val="24"/>
              </w:rPr>
              <w:br/>
              <w:t>Gelderen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An introduction</w:t>
            </w:r>
            <w:r w:rsidRPr="00FA254E">
              <w:rPr>
                <w:noProof/>
                <w:sz w:val="24"/>
                <w:szCs w:val="24"/>
              </w:rPr>
              <w:t xml:space="preserve"> to</w:t>
              <w:br/>
              <w:t>the grammar of</w:t>
              <w:br/>
              <w:t>English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Longman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Elearning</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Hoàng</w:t>
      </w:r>
      <w:r>
        <w:rPr>
          <w:b/>
          <w:bCs/>
          <w:noProof/>
          <w:sz w:val="24"/>
          <w:szCs w:val="24"/>
        </w:rPr>
        <w:t xml:space="preserve"> Hồ</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